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1" w:rsidRDefault="00223B11" w:rsidP="00223B11">
      <w:pPr>
        <w:pStyle w:val="ConsPlusNormal"/>
        <w:ind w:firstLine="540"/>
        <w:jc w:val="both"/>
      </w:pPr>
    </w:p>
    <w:p w:rsidR="00223B11" w:rsidRPr="00A40E8F" w:rsidRDefault="00223B11" w:rsidP="00223B11">
      <w:pPr>
        <w:pStyle w:val="ConsPlusNormal"/>
        <w:ind w:firstLine="540"/>
        <w:jc w:val="both"/>
        <w:rPr>
          <w:b/>
        </w:rPr>
      </w:pPr>
      <w:r w:rsidRPr="00A40E8F">
        <w:rPr>
          <w:b/>
        </w:rPr>
        <w:t>Основными задачами Министерства являются: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Разработка и реализация единой налоговой, финансовой и бюджетной политики на территории Нижегородской области.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Разработка проекта областного бюджета на очередной финансовый год и плановый период и организация его исполнения в установленном порядке.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Выработка единого подхода и совершенствование методологии составления местных бюджетов.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Разработка предложений по увеличению доходных поступлений в бюджет и привлечению в экономику Нижегородской области внешних инвестиций, кредитных ресурсов и обеспечению их более эффективного использования.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Концентрация финансовых ресурсов на приоритетных направлениях развития Нижегородской области в рамках исполнения бюджета.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Осуществление внутреннего государственного финансового контроля в соответствии с действующим законодательством, нормативными правовыми актами Нижегородской области.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proofErr w:type="gramStart"/>
      <w:r>
        <w:t>Установление</w:t>
      </w:r>
      <w:bookmarkStart w:id="0" w:name="_GoBack"/>
      <w:bookmarkEnd w:id="0"/>
      <w:r>
        <w:t xml:space="preserve"> в пределах своей компетенции порядка составления и представления отчетности об исполнении областного бюджета (бюджетной отчетности), сводной бухгалтерской отчетности государственных бюджетных, автономных учреждений Нижегородской области (для областного бюджета), формирование отчетности об исполнении консолидированного бюджета Нижегородской области и бюджета Территориального фонда обязательного медицинского страхования Нижегородской области, сводной бухгалтерской отчетности государственных бюджетных, автономных учреждений Нижегородской области и муниципальных бюджетных, автономных учреждений (для</w:t>
      </w:r>
      <w:proofErr w:type="gramEnd"/>
      <w:r>
        <w:t xml:space="preserve"> консолидированного бюджета Нижегородской области и бюджета Территориального фонда обязательного медицинского страхования Нижегородской области), формирование бюджетной отчетности о кассовом обслуживании бюджетных, автономных учреждений и иных организаций.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r>
        <w:t>Осуществление в рамках своей компетенции контроля в сфере закупок.</w:t>
      </w:r>
    </w:p>
    <w:p w:rsidR="00223B11" w:rsidRDefault="00223B11" w:rsidP="00A63291">
      <w:pPr>
        <w:pStyle w:val="ConsPlusNormal"/>
        <w:numPr>
          <w:ilvl w:val="0"/>
          <w:numId w:val="1"/>
        </w:numPr>
        <w:spacing w:before="220"/>
        <w:ind w:left="0" w:firstLine="0"/>
        <w:jc w:val="both"/>
      </w:pPr>
      <w:proofErr w:type="gramStart"/>
      <w:r>
        <w:t>Осуществление согласования финансовой и иной информации о бюджете и бюджетном процессе муниципальных образований Нижегородской области, размещаемой на едином портале бюджетной системы Российской Федерации, в целях реализации приказа Министерства финансов Российской Федерации от 28 декабря 2016 г. N 243н "О составе и порядке размещения и предоставления информации на едином портале бюджетной системы Российской Федерации".</w:t>
      </w:r>
      <w:proofErr w:type="gramEnd"/>
    </w:p>
    <w:p w:rsidR="00D318B0" w:rsidRDefault="00D318B0" w:rsidP="00A63291">
      <w:pPr>
        <w:ind w:left="426" w:hanging="426"/>
      </w:pPr>
    </w:p>
    <w:sectPr w:rsidR="00D3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6358"/>
    <w:multiLevelType w:val="hybridMultilevel"/>
    <w:tmpl w:val="8BAC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B"/>
    <w:rsid w:val="00223B11"/>
    <w:rsid w:val="00A40E8F"/>
    <w:rsid w:val="00A63291"/>
    <w:rsid w:val="00BF17DB"/>
    <w:rsid w:val="00D3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2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23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2023-01-30T12:12:00Z</dcterms:created>
  <dcterms:modified xsi:type="dcterms:W3CDTF">2023-01-30T12:17:00Z</dcterms:modified>
</cp:coreProperties>
</file>